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bookmarkStart w:id="4" w:name="_GoBack"/>
      <w:bookmarkStart w:id="0" w:name="_Toc173895837"/>
      <w:bookmarkStart w:id="1" w:name="_Toc173895652"/>
      <w:bookmarkStart w:id="2" w:name="_Toc211679176"/>
      <w:bookmarkStart w:id="3" w:name="_Toc180296779"/>
      <w:r>
        <w:rPr>
          <w:rFonts w:hint="eastAsia" w:ascii="宋体" w:hAnsi="宋体" w:eastAsia="宋体" w:cs="宋体"/>
          <w:b/>
          <w:bCs/>
          <w:sz w:val="32"/>
          <w:szCs w:val="32"/>
        </w:rPr>
        <w:t>简阳市中医医院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电子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输尿管肾盂镜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维修服务报价表</w:t>
      </w:r>
    </w:p>
    <w:bookmarkEnd w:id="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5"/>
        <w:gridCol w:w="1185"/>
        <w:gridCol w:w="1440"/>
        <w:gridCol w:w="1410"/>
        <w:gridCol w:w="258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维修服务内容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控制预算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质保期限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供应商报价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URF TYPE V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奥林巴斯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电子输尿管肾盂镜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包括：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插入管漏水、导光软管划痕、光束暗断等。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4.2万元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半年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bookmarkEnd w:id="0"/>
      <w:bookmarkEnd w:id="1"/>
      <w:bookmarkEnd w:id="2"/>
      <w:bookmarkEnd w:id="3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注：1. 报价应是最终用户验收合格后的总价，包括产品的运输、实施、税费、相关配套服务、人员管理和采购文件规定的其它一切费用。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2.“供应商报价表”需由法定代表人或授权代表签字并盖投标人印章。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3、以上表格如不能完全表达清楚投标人认为必要的费用明细，投标人可在符合表格内容要求之上自行补充。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投标人名称：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日    期：      年     月     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D6495"/>
    <w:rsid w:val="4F1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2022-03-31T01:31:00Z</dcterms:created>
  <dc:creator>差不多先森</dc:creator>
  <cp:lastModifiedBy>差不多先森</cp:lastModifiedBy>
  <cp:lastPrinted>2022-03-31T02:03:19Z</cp:lastPrinted>
  <dcterms:modified xsi:type="dcterms:W3CDTF">2022-03-31T03:03:35Z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54F47B6033584F8ABA024812FBDDF2B5</vt:lpwstr>
  </property>
</Properties>
</file>